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BC" w:rsidRDefault="007074BC" w:rsidP="007074BC">
      <w:pPr>
        <w:pStyle w:val="ConsPlusNormal"/>
        <w:spacing w:before="200"/>
      </w:pPr>
    </w:p>
    <w:p w:rsidR="007074BC" w:rsidRDefault="007074BC" w:rsidP="009B6CEE">
      <w:pPr>
        <w:pStyle w:val="ConsPlusNonformat"/>
        <w:jc w:val="both"/>
      </w:pPr>
      <w:r>
        <w:t xml:space="preserve">                                      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Title"/>
        <w:jc w:val="center"/>
      </w:pPr>
      <w:bookmarkStart w:id="0" w:name="Par155"/>
      <w:bookmarkEnd w:id="0"/>
      <w:r>
        <w:t>УСЛОВИЯ ПРОГРАММЫ "MONEY-BACK" В ОАО "СБЕР</w:t>
      </w:r>
      <w:r w:rsidR="000B6049">
        <w:t xml:space="preserve"> </w:t>
      </w:r>
      <w:r>
        <w:t>БАНК"</w:t>
      </w:r>
    </w:p>
    <w:p w:rsidR="007074BC" w:rsidRDefault="007074BC" w:rsidP="007074BC">
      <w:pPr>
        <w:pStyle w:val="ConsPlusNormal"/>
        <w:rPr>
          <w:sz w:val="24"/>
          <w:szCs w:val="24"/>
        </w:rPr>
      </w:pP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center"/>
        <w:outlineLvl w:val="2"/>
      </w:pPr>
      <w:r>
        <w:t>ГЛАВА 1</w:t>
      </w:r>
    </w:p>
    <w:p w:rsidR="007074BC" w:rsidRDefault="007074BC" w:rsidP="007074BC">
      <w:pPr>
        <w:pStyle w:val="ConsPlusNormal"/>
        <w:jc w:val="center"/>
      </w:pPr>
      <w:r>
        <w:t>ПРЕДМЕТ УСЛОВИЙ</w:t>
      </w:r>
    </w:p>
    <w:p w:rsidR="007074BC" w:rsidRDefault="007074BC" w:rsidP="007074BC">
      <w:pPr>
        <w:pStyle w:val="ConsPlusNormal"/>
      </w:pPr>
    </w:p>
    <w:p w:rsidR="007074BC" w:rsidRDefault="007074BC" w:rsidP="007074BC">
      <w:pPr>
        <w:pStyle w:val="ConsPlusNormal"/>
        <w:ind w:firstLine="540"/>
        <w:jc w:val="both"/>
      </w:pPr>
      <w:r>
        <w:t xml:space="preserve">1. С целью популяризации среди физических лиц банковских продуктов и </w:t>
      </w:r>
      <w:proofErr w:type="gramStart"/>
      <w:r>
        <w:t>услуг</w:t>
      </w:r>
      <w:proofErr w:type="gramEnd"/>
      <w:r>
        <w:t xml:space="preserve"> и стимулирования клиентов осуществлять безналичные платежи с использованием банковских платежных карточек ОАО "Сбер</w:t>
      </w:r>
      <w:r w:rsidR="000B6049">
        <w:t xml:space="preserve"> Б</w:t>
      </w:r>
      <w:r>
        <w:t>анк" (далее - Банк) разработало программу "</w:t>
      </w:r>
      <w:proofErr w:type="spellStart"/>
      <w:r>
        <w:t>Money-back</w:t>
      </w:r>
      <w:proofErr w:type="spellEnd"/>
      <w:r>
        <w:t>", условия которой содержатся в настоящей публичной оферте. Банк предоставляет Клиентам, возможность заключить Договор на подключение к программе "</w:t>
      </w:r>
      <w:proofErr w:type="spellStart"/>
      <w:r>
        <w:t>Money-back</w:t>
      </w:r>
      <w:proofErr w:type="spellEnd"/>
      <w:r>
        <w:t>" без посещения подразделений Банка.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2. Настоящие Условия (публичная оферта), Условия соответствующего продукта или акции Банка в части, регламентирующей условия программы "</w:t>
      </w:r>
      <w:proofErr w:type="spellStart"/>
      <w:r>
        <w:t>Money-back</w:t>
      </w:r>
      <w:proofErr w:type="spellEnd"/>
      <w:r>
        <w:t>", Заявление на регистрацию в программе "</w:t>
      </w:r>
      <w:proofErr w:type="spellStart"/>
      <w:r>
        <w:t>Money-back</w:t>
      </w:r>
      <w:proofErr w:type="spellEnd"/>
      <w:r>
        <w:t>" или Заявление/Заявление-анкета на предоставление продукта Банка с возможностью подключения программы "</w:t>
      </w:r>
      <w:proofErr w:type="spellStart"/>
      <w:r>
        <w:t>Money-back</w:t>
      </w:r>
      <w:proofErr w:type="spellEnd"/>
      <w:r>
        <w:t>", поданное Клиентом в Банк и принятое Банком в установленном настоящими Условиями порядке в совокупности являются Договором на подключение к программе "</w:t>
      </w:r>
      <w:proofErr w:type="spellStart"/>
      <w:r>
        <w:t>Money-back</w:t>
      </w:r>
      <w:proofErr w:type="spellEnd"/>
      <w:r>
        <w:t>".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3. Предметом Договора на подключение к программе "</w:t>
      </w:r>
      <w:proofErr w:type="spellStart"/>
      <w:r>
        <w:t>Money-back</w:t>
      </w:r>
      <w:proofErr w:type="spellEnd"/>
      <w:r>
        <w:t>" является определение порядка и условий выплаты Банком Клиенту дохода в виде процента от суммы безналичных расходных операций, совершенных Клиентом за счет собственных средств в оплату товаров (работ, услуг), по текущему (расчетному) банковскому счету, доступ к которому обеспечивается при использовании банковской платежной карточки, выпущенной в рамках продукта Банка с возможностью подключения к программе "</w:t>
      </w:r>
      <w:proofErr w:type="spellStart"/>
      <w:r>
        <w:t>Money-back</w:t>
      </w:r>
      <w:proofErr w:type="spellEnd"/>
      <w:r>
        <w:t>".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center"/>
        <w:outlineLvl w:val="2"/>
      </w:pPr>
      <w:r>
        <w:t>ГЛАВА 2</w:t>
      </w:r>
    </w:p>
    <w:p w:rsidR="007074BC" w:rsidRDefault="007074BC" w:rsidP="007074BC">
      <w:pPr>
        <w:pStyle w:val="ConsPlusNormal"/>
        <w:jc w:val="center"/>
      </w:pPr>
      <w:r>
        <w:t>ТЕРМИНЫ И ОПРЕДЕЛЕНИЯ</w:t>
      </w:r>
    </w:p>
    <w:p w:rsidR="007074BC" w:rsidRDefault="007074BC" w:rsidP="007074BC">
      <w:pPr>
        <w:pStyle w:val="ConsPlusNormal"/>
      </w:pPr>
    </w:p>
    <w:p w:rsidR="007074BC" w:rsidRDefault="007074BC" w:rsidP="007074BC">
      <w:pPr>
        <w:pStyle w:val="ConsPlusNormal"/>
        <w:ind w:firstLine="540"/>
        <w:jc w:val="both"/>
      </w:pPr>
      <w:r>
        <w:t>4. В настоящих Условиях нижеприведенные термины и определения используются в следующих значениях: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proofErr w:type="spellStart"/>
      <w:r>
        <w:t>Money-back</w:t>
      </w:r>
      <w:proofErr w:type="spellEnd"/>
      <w:r>
        <w:t xml:space="preserve"> - доход, выплачиваемый Банком Клиенту в виде процента от суммы безналичных расходных операций, совершенных Клиентом в оплату товаров (работ, услуг), по текущему (расчетному) банковскому счету, доступ к которому обеспечивается при использовании банковской платежной карточки, выпущенной в рамках продукта Банка с возможностью подключения к программе "</w:t>
      </w:r>
      <w:proofErr w:type="spellStart"/>
      <w:r>
        <w:t>Money-back</w:t>
      </w:r>
      <w:proofErr w:type="spellEnd"/>
      <w:r>
        <w:t>", рассчитанный за определенный период;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МСС - четырехзначный номер, классифицирующий вид деятельности организации торговли и сервиса и указываемый в деталях операции с использованием банковской платежной карточки при электронной передаче информации о данной операции в рамках правил платежной системы;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договор на подключение к программе "</w:t>
      </w:r>
      <w:proofErr w:type="spellStart"/>
      <w:r>
        <w:t>Money-back</w:t>
      </w:r>
      <w:proofErr w:type="spellEnd"/>
      <w:r>
        <w:t>" (далее - Договор) - соглашение между Банком и Клиентом, заключенное в порядке, предусмотренном настоящими Условиями (Публичной офертой) и регулирующее правоотношения связанные с выплатой вознаграждения Банком Клиенту в виде процентов от объема совершенных Клиентом расходных безналичных операций в оплату товаров (работ, услуг);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злоупотребление программой - совершение Клиентом действий, влекущих за собой получение Клиентом необоснованной выгоды (по решению Уполномоченного органа Банка). Например, регулярный отказ от товаров, работ и услуг, оплаченных с использованием карточки, выпущенной в рамках продуктов Банка с возможностью подключения к программе "</w:t>
      </w:r>
      <w:proofErr w:type="spellStart"/>
      <w:r>
        <w:t>Money-back</w:t>
      </w:r>
      <w:proofErr w:type="spellEnd"/>
      <w:r>
        <w:t>";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Клиент - физическое лицо, заключившее с Банком договор текущего (расчетного) банковского счета об использовании карточки и (или) договор на предоставление </w:t>
      </w:r>
      <w:proofErr w:type="spellStart"/>
      <w:r>
        <w:t>овердрафтного</w:t>
      </w:r>
      <w:proofErr w:type="spellEnd"/>
      <w:r>
        <w:t xml:space="preserve"> кредита;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банковская платежная карточка (карточка) - платежный инструмент, обеспечивающий доступ к текущему (расчетному) банковскому счету для осуществления расчетов в безналичной форме, внесения на счет и получения наличных денежных средств, а также обеспечивающий </w:t>
      </w:r>
      <w:r>
        <w:lastRenderedPageBreak/>
        <w:t>осуществление иных операций в соответствии с законодательством Республики Беларусь и условиями продукта Банка;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отчетный период - календарный месяц, за который производится расчет </w:t>
      </w:r>
      <w:proofErr w:type="spellStart"/>
      <w:r>
        <w:t>Money-back</w:t>
      </w:r>
      <w:proofErr w:type="spellEnd"/>
      <w:r>
        <w:t xml:space="preserve"> Клиенту или иной период, определенный условиями продукта Банка;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подразделение Банка - Региональная дирекция и/или Дополнительный офис;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продукт Банка - совокупность условий, ограничений и предложений Банка, направленных на удовлетворение потребностей Клиента, в том числе и финансовых, имеющая название для ее идентификации, утвержденная соответствующим уполномоченным органом Банка;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счет - текущий (расчетный) банковский счет Клиента, доступ к которому обеспечивается при использовании карточки;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программа "</w:t>
      </w:r>
      <w:proofErr w:type="spellStart"/>
      <w:r>
        <w:t>Money-back</w:t>
      </w:r>
      <w:proofErr w:type="spellEnd"/>
      <w:r>
        <w:t>" - программа по популяризации среди физических лиц банковских продуктов и стимулирования Клиентов осуществлять безналичные платежи с использованием карточек, в рамках которой Клиенту предоставляется возможность получать доход</w:t>
      </w:r>
      <w:r w:rsidR="00AA4B3C">
        <w:rPr>
          <w:lang w:val="ru-BY"/>
        </w:rPr>
        <w:t>,</w:t>
      </w:r>
      <w:r>
        <w:t xml:space="preserve"> выплачиваемый Банком Клиенту в виде процентов от суммы безналичных расходных операций, совершенных Клиентом с использованием карточки Банка.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center"/>
        <w:outlineLvl w:val="2"/>
      </w:pPr>
      <w:r>
        <w:t>ГЛАВА 3</w:t>
      </w:r>
    </w:p>
    <w:p w:rsidR="007074BC" w:rsidRDefault="007074BC" w:rsidP="007074BC">
      <w:pPr>
        <w:pStyle w:val="ConsPlusNormal"/>
        <w:jc w:val="center"/>
      </w:pPr>
      <w:r>
        <w:t>ОБЩИЕ ПОЛОЖЕНИЯ</w:t>
      </w:r>
    </w:p>
    <w:p w:rsidR="007074BC" w:rsidRDefault="007074BC" w:rsidP="007074BC">
      <w:pPr>
        <w:pStyle w:val="ConsPlusNormal"/>
      </w:pPr>
    </w:p>
    <w:p w:rsidR="007074BC" w:rsidRDefault="007074BC" w:rsidP="007074BC">
      <w:pPr>
        <w:pStyle w:val="ConsPlusNormal"/>
        <w:ind w:firstLine="540"/>
        <w:jc w:val="both"/>
      </w:pPr>
      <w:r>
        <w:t>5. Акцептом настоящей публичной оферты является факт оформления Клиентом Заявления на регистрацию в программе "</w:t>
      </w:r>
      <w:proofErr w:type="spellStart"/>
      <w:r>
        <w:t>Money-back</w:t>
      </w:r>
      <w:proofErr w:type="spellEnd"/>
      <w:r>
        <w:t>" или Заявления/Заявления-анкеты на предоставление продукта Банка с возможностью подключения программы "</w:t>
      </w:r>
      <w:proofErr w:type="spellStart"/>
      <w:r>
        <w:t>Money-back</w:t>
      </w:r>
      <w:proofErr w:type="spellEnd"/>
      <w:r>
        <w:t xml:space="preserve">" и подачи его/ее в Банк либо совершение по счету с использованием банковской платежной карточки операции, по которой начисляется </w:t>
      </w:r>
      <w:proofErr w:type="spellStart"/>
      <w:r>
        <w:t>Money-back</w:t>
      </w:r>
      <w:proofErr w:type="spellEnd"/>
      <w:r>
        <w:t>, согласно условиям акции Банка, действующей на момент отражения операции по счету.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6. Пользование программой "</w:t>
      </w:r>
      <w:proofErr w:type="spellStart"/>
      <w:r>
        <w:t>Money-back</w:t>
      </w:r>
      <w:proofErr w:type="spellEnd"/>
      <w:r>
        <w:t>" осуществляется Клиентом с использованием подключенной к программе "</w:t>
      </w:r>
      <w:proofErr w:type="spellStart"/>
      <w:r>
        <w:t>Money-back</w:t>
      </w:r>
      <w:proofErr w:type="spellEnd"/>
      <w:r>
        <w:t>" карточки путем осуществления расходных безналичных операций в оплату товаров (работ, услуг).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Money-back</w:t>
      </w:r>
      <w:proofErr w:type="spellEnd"/>
      <w:r>
        <w:t xml:space="preserve"> рассчитывается за определенный период. Периодичность расчета и выплаты </w:t>
      </w:r>
      <w:proofErr w:type="spellStart"/>
      <w:r>
        <w:t>Money-back</w:t>
      </w:r>
      <w:proofErr w:type="spellEnd"/>
      <w:r>
        <w:t>, также размер процента от суммы безналичных расходных операций, совершаемых Клиентом в оплату товаров (работ, услуг), по текущему (расчетному) банковскому счету, доступ к которому обеспечивается при использовании карточки, выпущенной в рамках продукта Банка с возможностью подключения к программе "</w:t>
      </w:r>
      <w:proofErr w:type="spellStart"/>
      <w:r>
        <w:t>Money-back</w:t>
      </w:r>
      <w:proofErr w:type="spellEnd"/>
      <w:r>
        <w:t>", указывается на официальном сайте Банка (www.sber</w:t>
      </w:r>
      <w:r w:rsidR="000D32C7" w:rsidRPr="001D137D">
        <w:t>-</w:t>
      </w:r>
      <w:r>
        <w:t>bank.by) в соответствующем разделе продукта Банка.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Общая сумма выплаченного Клиенту </w:t>
      </w:r>
      <w:proofErr w:type="spellStart"/>
      <w:r>
        <w:t>Money-back</w:t>
      </w:r>
      <w:proofErr w:type="spellEnd"/>
      <w:r>
        <w:t xml:space="preserve"> за отчетный период, не может превышать </w:t>
      </w:r>
      <w:r w:rsidR="000B6049">
        <w:t xml:space="preserve">200 </w:t>
      </w:r>
      <w:r>
        <w:t>(</w:t>
      </w:r>
      <w:r w:rsidR="000B6049">
        <w:t>Двести</w:t>
      </w:r>
      <w:r>
        <w:t xml:space="preserve">) белорусских рублей. Если рассчитанная сумма </w:t>
      </w:r>
      <w:proofErr w:type="spellStart"/>
      <w:r>
        <w:t>Money-back</w:t>
      </w:r>
      <w:proofErr w:type="spellEnd"/>
      <w:r>
        <w:t xml:space="preserve"> за отчётный период превышает вышеуказанный лимит, то сумма превышения не начисляется в отчётном периоде и не переносится на последующие отчётные периоды.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При расчете </w:t>
      </w:r>
      <w:proofErr w:type="spellStart"/>
      <w:r>
        <w:t>Money-back</w:t>
      </w:r>
      <w:proofErr w:type="spellEnd"/>
      <w:r>
        <w:t xml:space="preserve"> учитываются только те операции, после отражения которых в учетных комплексах Банка по Счету остается положительный остаток на конец операционного дня Банка.</w:t>
      </w:r>
    </w:p>
    <w:p w:rsidR="00F76E2E" w:rsidRDefault="00F76E2E" w:rsidP="007074BC">
      <w:pPr>
        <w:pStyle w:val="ConsPlusNormal"/>
        <w:jc w:val="both"/>
      </w:pPr>
    </w:p>
    <w:p w:rsidR="00F76E2E" w:rsidRDefault="00F76E2E" w:rsidP="007074BC">
      <w:pPr>
        <w:pStyle w:val="ConsPlusNormal"/>
        <w:jc w:val="both"/>
      </w:pPr>
      <w:r>
        <w:tab/>
        <w:t xml:space="preserve">Минимальная сумма участвующих в расчете </w:t>
      </w:r>
      <w:proofErr w:type="spellStart"/>
      <w:r>
        <w:t>Money-back</w:t>
      </w:r>
      <w:proofErr w:type="spellEnd"/>
      <w:r>
        <w:t xml:space="preserve"> безналичных операций, совершенных Клиентом в оплату товаров (работ, услуг), с использованием карточки, к которой подключена программа "</w:t>
      </w:r>
      <w:proofErr w:type="spellStart"/>
      <w:r>
        <w:t>Money-back</w:t>
      </w:r>
      <w:proofErr w:type="spellEnd"/>
      <w:r>
        <w:t xml:space="preserve">", составляет 10 (Десять) белорусских рублей. При расчете суммы </w:t>
      </w:r>
      <w:proofErr w:type="spellStart"/>
      <w:r>
        <w:t>Money-back</w:t>
      </w:r>
      <w:proofErr w:type="spellEnd"/>
      <w:r>
        <w:t xml:space="preserve"> по </w:t>
      </w:r>
      <w:r w:rsidR="007F7CCA">
        <w:t>операциям</w:t>
      </w:r>
      <w:r>
        <w:t xml:space="preserve"> в иностранной валюте (доллары США, евро, российские рубли) применяется курс Национального банка Республики Беларусь на дату расчета.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8. Для расчёта </w:t>
      </w:r>
      <w:proofErr w:type="spellStart"/>
      <w:r>
        <w:t>Money-back</w:t>
      </w:r>
      <w:proofErr w:type="spellEnd"/>
      <w:r>
        <w:t xml:space="preserve"> учитываются безналичные расходные операции с использованием карточки Клиента, совершенные за счет собственных средств Клиента, за исключением операций: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8.1. проводимых в устройствах самообслуживания (банкоматы и платежно-справочные терминалы, системы Сбербанк Онлайн/ Мобильный банкинг), кассах Банка с использованием МСС 6010 - 6012,6028 или МСС 4900;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lastRenderedPageBreak/>
        <w:t>8.2. осуществляемых через систему "Расчет" (ЕРИП) в дистанционных каналах Банка и иных банков с использованием МСС 6012, 6028;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8.3. безналичные переводы между карточками Банка;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8.4. проводимых в устройствах банков, установленных в РУП "</w:t>
      </w:r>
      <w:proofErr w:type="spellStart"/>
      <w:r>
        <w:t>Белпочта</w:t>
      </w:r>
      <w:proofErr w:type="spellEnd"/>
      <w:r>
        <w:t>", с использованием МСС 9402;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8.5. операции по зачислению (пополнению) электронных кошельков (например, </w:t>
      </w:r>
      <w:proofErr w:type="spellStart"/>
      <w:r>
        <w:t>Яндекс.Деньги</w:t>
      </w:r>
      <w:proofErr w:type="spellEnd"/>
      <w:r>
        <w:t>);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8.6. по выдаче наличных денежных средств;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8.7. в казино и иных игорных заведениях, оплата ставок и пари, в том числе через Интернет (ПАРИ/трек/казино/ЛОТО);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8.8. проводимых с использованием МСС 9311 (налоговые платежи), МСС 9399 (государственные сервисы), МСС 4812 (телекоммуникационное оборудование, включая продажу телефонов), МСС 5411 (продуктовые магазины и супермаркеты) или МСС 4814 (звонки с использованием телефон считывающих магнитную ленту);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8.9. квалифицированных Банком и/или платежными системами в качестве мошеннических;</w:t>
      </w:r>
    </w:p>
    <w:p w:rsidR="007074BC" w:rsidRDefault="007074BC" w:rsidP="00AA4B3C">
      <w:pPr>
        <w:pStyle w:val="ConsPlusNormal"/>
        <w:spacing w:before="200"/>
        <w:ind w:firstLine="540"/>
        <w:jc w:val="both"/>
      </w:pPr>
      <w:r>
        <w:t>8.9-1. направленных на злоупотребление программой "</w:t>
      </w:r>
      <w:proofErr w:type="spellStart"/>
      <w:r>
        <w:t>Money-back</w:t>
      </w:r>
      <w:proofErr w:type="spellEnd"/>
      <w:r>
        <w:t>";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8.9-2. отмены платежа;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8.10. совершенных за счет </w:t>
      </w:r>
      <w:proofErr w:type="spellStart"/>
      <w:r>
        <w:t>овердрафтного</w:t>
      </w:r>
      <w:proofErr w:type="spellEnd"/>
      <w:r>
        <w:t xml:space="preserve"> кредита.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9. При закрытии счета до момента фактической выплаты </w:t>
      </w:r>
      <w:proofErr w:type="spellStart"/>
      <w:r>
        <w:t>Money-back</w:t>
      </w:r>
      <w:proofErr w:type="spellEnd"/>
      <w:r>
        <w:t xml:space="preserve"> сумма </w:t>
      </w:r>
      <w:proofErr w:type="spellStart"/>
      <w:r>
        <w:t>Money-back</w:t>
      </w:r>
      <w:proofErr w:type="spellEnd"/>
      <w:r>
        <w:t xml:space="preserve"> считается равной нулю.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10. Отмена регистрации в программе "</w:t>
      </w:r>
      <w:proofErr w:type="spellStart"/>
      <w:r>
        <w:t>Money-back</w:t>
      </w:r>
      <w:proofErr w:type="spellEnd"/>
      <w:r>
        <w:t>" осуществляется в порядке, указанном в п. 12.3 настоящей программы "</w:t>
      </w:r>
      <w:proofErr w:type="spellStart"/>
      <w:r>
        <w:t>Money-back</w:t>
      </w:r>
      <w:proofErr w:type="spellEnd"/>
      <w:r>
        <w:t>".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center"/>
        <w:outlineLvl w:val="2"/>
      </w:pPr>
      <w:r>
        <w:t>ГЛАВА 4</w:t>
      </w:r>
    </w:p>
    <w:p w:rsidR="007074BC" w:rsidRDefault="007074BC" w:rsidP="007074BC">
      <w:pPr>
        <w:pStyle w:val="ConsPlusNormal"/>
        <w:jc w:val="center"/>
      </w:pPr>
      <w:r>
        <w:t>ПРАВА И ОБЯЗАННОСТИ СТОРОН</w:t>
      </w:r>
    </w:p>
    <w:p w:rsidR="007074BC" w:rsidRDefault="007074BC" w:rsidP="007074BC">
      <w:pPr>
        <w:pStyle w:val="ConsPlusNormal"/>
      </w:pPr>
    </w:p>
    <w:p w:rsidR="007074BC" w:rsidRDefault="007074BC" w:rsidP="007074BC">
      <w:pPr>
        <w:pStyle w:val="ConsPlusNormal"/>
        <w:ind w:firstLine="540"/>
        <w:jc w:val="both"/>
      </w:pPr>
      <w:r>
        <w:t>11. Банк обязуется: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11.1. Обеспечить подключение к программе "</w:t>
      </w:r>
      <w:proofErr w:type="spellStart"/>
      <w:r>
        <w:t>Money-back</w:t>
      </w:r>
      <w:proofErr w:type="spellEnd"/>
      <w:r>
        <w:t>".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bookmarkStart w:id="1" w:name="_GoBack"/>
      <w:bookmarkEnd w:id="1"/>
      <w:r>
        <w:t>11.2. Информировать Клиента путем размещения информации на официальном сайте Банка (www.sber</w:t>
      </w:r>
      <w:r w:rsidR="000B6049">
        <w:t>-</w:t>
      </w:r>
      <w:r>
        <w:t>bank.by) об изменениях условий Договора (публичной оферты) с предварительным уведомлением Клиента не менее чем за десять календарных дней, если более длительный срок не указан в уведомлении или не предусмотрен законодательством или настоящими Условиями;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11.3. выплачивать доход Клиенту в виде процента от суммы безналичных расходных операций, совершенных Клиентом в оплату товаров (работ, услуг), по текущему (расчетному) банковскому счету, доступ к которому обеспечивается при использовании карточки, выпущенной в рамках продукта Банка с возможностью подключения к программе "</w:t>
      </w:r>
      <w:proofErr w:type="spellStart"/>
      <w:r>
        <w:t>Money-back</w:t>
      </w:r>
      <w:proofErr w:type="spellEnd"/>
      <w:r>
        <w:t>", рассчитанный за определенный период.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12. Банк имеет право: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12.1. Вносить изменения в условия Договора (публичную оферту) в порядке, предусмотренном п. 20 настоящих Условий;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12.2. В одностороннем порядке отказать в подключении к программе "</w:t>
      </w:r>
      <w:proofErr w:type="spellStart"/>
      <w:r>
        <w:t>Money-back</w:t>
      </w:r>
      <w:proofErr w:type="spellEnd"/>
      <w:r>
        <w:t>" в случае нарушения Клиентом п. 13.1 настоящих Условий;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bookmarkStart w:id="2" w:name="Par241"/>
      <w:bookmarkEnd w:id="2"/>
      <w:r>
        <w:t>12.3. В одностороннем порядке расторгнуть Договор (публичную оферту) путем одностороннего отказа от исполнения Договора;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12.4. В одностороннем порядке изменять размер процента от суммы безналичных расходных </w:t>
      </w:r>
      <w:r>
        <w:lastRenderedPageBreak/>
        <w:t>операций, совершаемых Клиентом в оплату товаров (работ, услуг), по текущему (расчетному) банковскому счету, доступ к которому обеспечивается при использовании карточки, выпущенной в рамках продукта Банка с возможностью подключения к программе "</w:t>
      </w:r>
      <w:proofErr w:type="spellStart"/>
      <w:r>
        <w:t>Money-back</w:t>
      </w:r>
      <w:proofErr w:type="spellEnd"/>
      <w:r>
        <w:t xml:space="preserve">", а также периодичность расчета и выплаты </w:t>
      </w:r>
      <w:proofErr w:type="spellStart"/>
      <w:r>
        <w:t>Money-back</w:t>
      </w:r>
      <w:proofErr w:type="spellEnd"/>
      <w:r>
        <w:t>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13. Клиент обязуется: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bookmarkStart w:id="3" w:name="Par245"/>
      <w:bookmarkEnd w:id="3"/>
      <w:r>
        <w:t>13.1. Не злоупотреблять программой "</w:t>
      </w:r>
      <w:proofErr w:type="spellStart"/>
      <w:r>
        <w:t>Money-back</w:t>
      </w:r>
      <w:proofErr w:type="spellEnd"/>
      <w:r>
        <w:t>".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14. Клиент имеет право: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14.1. пользоваться программой "</w:t>
      </w:r>
      <w:proofErr w:type="spellStart"/>
      <w:r>
        <w:t>Money-back</w:t>
      </w:r>
      <w:proofErr w:type="spellEnd"/>
      <w:r>
        <w:t>" в соответствии с настоящей программой "</w:t>
      </w:r>
      <w:proofErr w:type="spellStart"/>
      <w:r>
        <w:t>Money-back</w:t>
      </w:r>
      <w:proofErr w:type="spellEnd"/>
      <w:r>
        <w:t>";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14.2. получать доход в порядке и на условиях, определенных настоящими Условиями.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center"/>
        <w:outlineLvl w:val="2"/>
      </w:pPr>
      <w:r>
        <w:t>ГЛАВА 5</w:t>
      </w:r>
    </w:p>
    <w:p w:rsidR="007074BC" w:rsidRDefault="007074BC" w:rsidP="007074BC">
      <w:pPr>
        <w:pStyle w:val="ConsPlusNormal"/>
        <w:jc w:val="center"/>
      </w:pPr>
      <w:r>
        <w:t>ОТВЕТСТВЕННОСТЬ СТОРОН</w:t>
      </w:r>
    </w:p>
    <w:p w:rsidR="007074BC" w:rsidRDefault="007074BC" w:rsidP="007074BC">
      <w:pPr>
        <w:pStyle w:val="ConsPlusNormal"/>
      </w:pPr>
    </w:p>
    <w:p w:rsidR="007074BC" w:rsidRDefault="007074BC" w:rsidP="007074BC">
      <w:pPr>
        <w:pStyle w:val="ConsPlusNormal"/>
        <w:ind w:firstLine="540"/>
        <w:jc w:val="both"/>
      </w:pPr>
      <w:r>
        <w:t>15. Банк и Клиент несут ответственность за невыполнение или ненадлежащее выполнение обязательств по настоящим Условиям в соответствии с действующим законодательством Республики Беларусь.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16. Банк и Клиент не несут ответственность за ущерб, причиненный другой стороне ненадлежащим исполнением обязательств по настоящим Условиям, если такое ненадлежащее исполнение обязательств было вызвано действием обстоятельств непреодолимой силы, в том числе сбоями в работе систем телекоммуникаций, решениями государственных органов Республики Беларусь, наводнениями, пожаром, землетрясениями и другими стихийными бедствиями, военными действиями и т.п.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17. Банк не несет ответственность за совершенные Клиентом во время пользования программой "</w:t>
      </w:r>
      <w:proofErr w:type="spellStart"/>
      <w:r>
        <w:t>Money-back</w:t>
      </w:r>
      <w:proofErr w:type="spellEnd"/>
      <w:r>
        <w:t>" безналичные расчеты и другие операции, за возможный ущерб, понесенный Клиентом из-за несанкционированного доступа третьих лиц к программе "</w:t>
      </w:r>
      <w:proofErr w:type="spellStart"/>
      <w:r>
        <w:t>Money-back</w:t>
      </w:r>
      <w:proofErr w:type="spellEnd"/>
      <w:r>
        <w:t>", к номеру мобильного телефона Клиента, а также к информации о состоянии счета Клиента, к которому выпущена зарегистрированная в программе "</w:t>
      </w:r>
      <w:proofErr w:type="spellStart"/>
      <w:r>
        <w:t>Money-back</w:t>
      </w:r>
      <w:proofErr w:type="spellEnd"/>
      <w:r>
        <w:t>" карточка, передаваемой по открытым каналам связи, произошедшего не по вине Банка.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 xml:space="preserve">18. При выявлении факта злоупотребления программой Банк вправе пересчитать суммы </w:t>
      </w:r>
      <w:proofErr w:type="spellStart"/>
      <w:r>
        <w:t>Money-back</w:t>
      </w:r>
      <w:proofErr w:type="spellEnd"/>
      <w:r>
        <w:t xml:space="preserve"> (в том числе ранее выплаченного) или в одностороннем внесудебном порядке отказаться от выплаты </w:t>
      </w:r>
      <w:proofErr w:type="spellStart"/>
      <w:r>
        <w:t>Money-back</w:t>
      </w:r>
      <w:proofErr w:type="spellEnd"/>
      <w:r>
        <w:t xml:space="preserve"> в полном объеме. Сумма излишне выплаченного </w:t>
      </w:r>
      <w:proofErr w:type="spellStart"/>
      <w:r>
        <w:t>Money-back</w:t>
      </w:r>
      <w:proofErr w:type="spellEnd"/>
      <w:r>
        <w:t xml:space="preserve"> может быть списана Банком со счета Клиента платежным ордером.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18-1.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"коррупция",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:rsidR="007074BC" w:rsidRDefault="007074BC" w:rsidP="007074BC">
      <w:pPr>
        <w:pStyle w:val="ConsPlusNormal"/>
        <w:spacing w:before="200"/>
        <w:jc w:val="center"/>
        <w:outlineLvl w:val="2"/>
      </w:pPr>
      <w:r>
        <w:t>ГЛАВА 6</w:t>
      </w:r>
    </w:p>
    <w:p w:rsidR="007074BC" w:rsidRDefault="007074BC" w:rsidP="007074BC">
      <w:pPr>
        <w:pStyle w:val="ConsPlusNormal"/>
        <w:jc w:val="center"/>
      </w:pPr>
      <w:r>
        <w:t>СРОК ДЕЙСТВИЯ УСЛОВИЙ И ДОГОВОРА</w:t>
      </w:r>
    </w:p>
    <w:p w:rsidR="007074BC" w:rsidRDefault="007074BC" w:rsidP="007074BC">
      <w:pPr>
        <w:pStyle w:val="ConsPlusNormal"/>
      </w:pPr>
    </w:p>
    <w:p w:rsidR="007074BC" w:rsidRDefault="007074BC" w:rsidP="007074BC">
      <w:pPr>
        <w:pStyle w:val="ConsPlusNormal"/>
        <w:ind w:firstLine="540"/>
        <w:jc w:val="both"/>
      </w:pPr>
      <w:r>
        <w:t>19. Договор считается заключенным на неопределенный срок и действует до момента его расторжения в соответствии с п. 10 настоящих Условий, либо до предоставления Клиентом несогласия с офертой, в порядке, предусмотренным п. 21.3 настоящих Условий.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bookmarkStart w:id="4" w:name="Par268"/>
      <w:bookmarkEnd w:id="4"/>
      <w:r>
        <w:t>20. Внесение Банком изменений и (или) дополнений в заключенный с Клиентом Договор осуществляется путем размещения на официальном сайте Банка (www.sber</w:t>
      </w:r>
      <w:r w:rsidR="000B6049">
        <w:t>-</w:t>
      </w:r>
      <w:r>
        <w:t>bank.by) новой редакции Условий (публичной оферты) и вступления ее в силу. Новая редакция Условий (публичной оферты) публикуется не менее чем за 10 (десять) календарных дней до наступления даты вступления в силу новой редакции Условий, если более длительный срок не указан в уведомлении или не предусмотрен законодательством.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21. Соглашение Сторон по изменению условий Договора (публичной оферты) достигается в следующем порядке: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lastRenderedPageBreak/>
        <w:t>21.1. Банк уведомляет Клиента об изменении условий Договора (публичной оферты) в порядке, предусмотренном в п. 20 настоящих Условий. Вышеуказанное уведомление является одновременно офертой об изменении условий Договора (публичной оферты);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21.2. Согласие Клиента на изменение условий Договора (условий публичной оферты) (акцепт оферты) считается полученным, если в течение десяти календарных дней со дня размещения публичной оферты, если более длительный срок не указан в уведомлении или не предусмотрен законодательством, Клиент не выразит свое несогласие с офертой, в порядке, предусмотренном п. 21.3 настоящих Условий.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bookmarkStart w:id="5" w:name="Par272"/>
      <w:bookmarkEnd w:id="5"/>
      <w:r>
        <w:t>21.3. Несогласие Клиента с изменением условий Договора (публичной оферты) может быть осуществлено Клиентом путем подачи письменного уведомления об отказе от акцепта измененных условий Договора (публичной оферты) одновременно с оформлением заявления на закрытие соответствующего текущего (расчетного) банковского счета не позднее десяти календарных дней со дня размещения новой редакции публичной оферты. Заявление, оформленное с опозданием и (или) содержащее предложение изменить настоящий Договор (публичную оферту) на иных условиях, чем предложено Банком, не является отказом от изменений условий Договора (публичной оферты). В случае, неполучения Банком до вступления в силу новых условий Договора (публичной оферты) письменного уведомления об отказе от акцепта изменений условий Договора публичной оферты), Банк считает это выражением согласия Клиента с изменениями условий Договора (публичной оферты) в соответствии с п. 2 ст. 408 Гражданского кодекса Республики Беларусь.</w:t>
      </w:r>
    </w:p>
    <w:p w:rsidR="007074BC" w:rsidRDefault="007074BC" w:rsidP="007074BC">
      <w:pPr>
        <w:pStyle w:val="ConsPlusNormal"/>
        <w:ind w:firstLine="540"/>
        <w:jc w:val="both"/>
      </w:pPr>
    </w:p>
    <w:p w:rsidR="007074BC" w:rsidRDefault="007074BC" w:rsidP="007074BC">
      <w:pPr>
        <w:pStyle w:val="ConsPlusNormal"/>
        <w:spacing w:before="260"/>
        <w:jc w:val="center"/>
        <w:outlineLvl w:val="2"/>
      </w:pPr>
      <w:r>
        <w:t>ГЛАВА 6</w:t>
      </w:r>
    </w:p>
    <w:p w:rsidR="007074BC" w:rsidRDefault="007074BC" w:rsidP="007074BC">
      <w:pPr>
        <w:pStyle w:val="ConsPlusNormal"/>
        <w:jc w:val="center"/>
      </w:pPr>
      <w:r>
        <w:t>ПОРЯДОК РАЗРЕШЕНИЯ СПОРОВ</w:t>
      </w:r>
    </w:p>
    <w:p w:rsidR="007074BC" w:rsidRDefault="007074BC" w:rsidP="007074BC">
      <w:pPr>
        <w:pStyle w:val="ConsPlusNormal"/>
      </w:pPr>
    </w:p>
    <w:p w:rsidR="007074BC" w:rsidRDefault="007074BC" w:rsidP="007074BC">
      <w:pPr>
        <w:pStyle w:val="ConsPlusNormal"/>
        <w:ind w:firstLine="540"/>
        <w:jc w:val="both"/>
      </w:pPr>
      <w:r>
        <w:t>22. Все разногласия и споры по настоящему Договору (публичной оферте) разрешаются в судебном порядке в соответствии с законодательством Республики Беларусь.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center"/>
        <w:outlineLvl w:val="2"/>
      </w:pPr>
      <w:r>
        <w:t>ГЛАВА 7</w:t>
      </w:r>
    </w:p>
    <w:p w:rsidR="007074BC" w:rsidRDefault="007074BC" w:rsidP="007074BC">
      <w:pPr>
        <w:pStyle w:val="ConsPlusNormal"/>
        <w:jc w:val="center"/>
      </w:pPr>
      <w:r>
        <w:t>МЕСТОНАХОЖДЕНИЕ И РЕКВИЗИТЫ БАНКА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ind w:firstLine="540"/>
        <w:jc w:val="both"/>
      </w:pPr>
      <w:r>
        <w:t>Открытое акционерное общество "Сбер</w:t>
      </w:r>
      <w:r w:rsidR="000B6049">
        <w:t xml:space="preserve"> Б</w:t>
      </w:r>
      <w:r>
        <w:t>анк"</w:t>
      </w:r>
    </w:p>
    <w:p w:rsidR="009B6CEE" w:rsidRDefault="007074BC" w:rsidP="007074BC">
      <w:pPr>
        <w:pStyle w:val="ConsPlusNormal"/>
        <w:spacing w:before="200"/>
        <w:ind w:firstLine="540"/>
        <w:jc w:val="both"/>
        <w:rPr>
          <w:rFonts w:asciiTheme="minorHAnsi" w:eastAsiaTheme="minorHAnsi" w:hAnsiTheme="minorHAnsi" w:cs="Helv"/>
          <w:color w:val="008080"/>
          <w:sz w:val="28"/>
          <w:szCs w:val="28"/>
          <w:lang w:eastAsia="en-US"/>
        </w:rPr>
      </w:pPr>
      <w:r>
        <w:t>2200</w:t>
      </w:r>
      <w:r w:rsidR="009B6CEE">
        <w:rPr>
          <w:lang w:val="ru-BY"/>
        </w:rPr>
        <w:t>30</w:t>
      </w:r>
      <w:r>
        <w:t xml:space="preserve">, г. Минск, </w:t>
      </w:r>
      <w:r w:rsidR="009B6CEE" w:rsidRPr="009B6CEE">
        <w:t>пр-т Независимости, 32А-1</w:t>
      </w:r>
    </w:p>
    <w:p w:rsidR="007074BC" w:rsidRDefault="007074BC" w:rsidP="007074BC">
      <w:pPr>
        <w:pStyle w:val="ConsPlusNormal"/>
        <w:spacing w:before="200"/>
        <w:ind w:firstLine="540"/>
        <w:jc w:val="both"/>
      </w:pPr>
      <w:r>
        <w:t>УНП 100219643 ОКПО 00040583</w:t>
      </w: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  <w:jc w:val="both"/>
      </w:pPr>
    </w:p>
    <w:p w:rsidR="007074BC" w:rsidRDefault="007074BC" w:rsidP="007074BC">
      <w:pPr>
        <w:pStyle w:val="ConsPlusNormal"/>
      </w:pPr>
      <w:bookmarkStart w:id="6" w:name="Par298"/>
      <w:bookmarkEnd w:id="6"/>
    </w:p>
    <w:p w:rsidR="009B1F7D" w:rsidRDefault="009B1F7D"/>
    <w:sectPr w:rsidR="009B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36"/>
    <w:rsid w:val="000B6049"/>
    <w:rsid w:val="000D32C7"/>
    <w:rsid w:val="001D137D"/>
    <w:rsid w:val="003374F2"/>
    <w:rsid w:val="003C2ABB"/>
    <w:rsid w:val="005D061D"/>
    <w:rsid w:val="006007A5"/>
    <w:rsid w:val="007074BC"/>
    <w:rsid w:val="00757E41"/>
    <w:rsid w:val="007D6136"/>
    <w:rsid w:val="007F7CCA"/>
    <w:rsid w:val="009B1F7D"/>
    <w:rsid w:val="009B6CEE"/>
    <w:rsid w:val="00A26E0D"/>
    <w:rsid w:val="00AA4B3C"/>
    <w:rsid w:val="00AE2F2A"/>
    <w:rsid w:val="00BB48F4"/>
    <w:rsid w:val="00CA0EBE"/>
    <w:rsid w:val="00D03DC7"/>
    <w:rsid w:val="00D07431"/>
    <w:rsid w:val="00D55669"/>
    <w:rsid w:val="00E854F3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1C13"/>
  <w15:chartTrackingRefBased/>
  <w15:docId w15:val="{14899F93-5763-4EAE-914F-769E1DF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B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7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Ульяна</dc:creator>
  <cp:keywords/>
  <dc:description/>
  <cp:lastModifiedBy>Лесневская Юлия</cp:lastModifiedBy>
  <cp:revision>4</cp:revision>
  <dcterms:created xsi:type="dcterms:W3CDTF">2022-08-18T10:03:00Z</dcterms:created>
  <dcterms:modified xsi:type="dcterms:W3CDTF">2022-08-18T11:01:00Z</dcterms:modified>
</cp:coreProperties>
</file>