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7B" w:rsidRDefault="00B07C82" w:rsidP="00B07C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7D53">
        <w:rPr>
          <w:rFonts w:eastAsiaTheme="minorHAnsi"/>
          <w:b/>
          <w:sz w:val="28"/>
          <w:szCs w:val="28"/>
          <w:lang w:eastAsia="en-US"/>
        </w:rPr>
        <w:t xml:space="preserve">Общая информация </w:t>
      </w:r>
    </w:p>
    <w:p w:rsidR="00B07C82" w:rsidRPr="00937D53" w:rsidRDefault="00B07C82" w:rsidP="00B07C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7D53">
        <w:rPr>
          <w:rFonts w:eastAsiaTheme="minorHAnsi"/>
          <w:b/>
          <w:sz w:val="28"/>
          <w:szCs w:val="28"/>
          <w:lang w:eastAsia="en-US"/>
        </w:rPr>
        <w:t xml:space="preserve">о взаимоотношениях </w:t>
      </w:r>
      <w:r w:rsidRPr="00063852">
        <w:rPr>
          <w:b/>
          <w:sz w:val="28"/>
          <w:szCs w:val="28"/>
        </w:rPr>
        <w:t>ОАО «Сбер Банк</w:t>
      </w:r>
      <w:r>
        <w:rPr>
          <w:b/>
          <w:sz w:val="28"/>
          <w:szCs w:val="28"/>
        </w:rPr>
        <w:t>»</w:t>
      </w:r>
      <w:r w:rsidRPr="00937D53">
        <w:rPr>
          <w:rFonts w:eastAsiaTheme="minorHAnsi"/>
          <w:b/>
          <w:sz w:val="28"/>
          <w:szCs w:val="28"/>
          <w:lang w:eastAsia="en-US"/>
        </w:rPr>
        <w:t>, его органов управления с инсайдерами и взаимосвязанными с ними лицами</w:t>
      </w:r>
    </w:p>
    <w:p w:rsidR="00B07C82" w:rsidRPr="00937D53" w:rsidRDefault="00B07C82" w:rsidP="00B07C82">
      <w:pPr>
        <w:ind w:firstLine="567"/>
        <w:jc w:val="both"/>
        <w:rPr>
          <w:b/>
          <w:sz w:val="28"/>
          <w:szCs w:val="28"/>
        </w:rPr>
      </w:pP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В соответствии с Банковским кодексом Республики Беларусь и Инструкцией об организации корпоративного управления, утвержденной постановлением Правления Национального банка Республики Беларусь от 21.02.2024 №62, в ОАО «Сбер Банк» (далее – Банк) определены подходы, регламентирующие взаимоотношения Банка</w:t>
      </w:r>
      <w:r>
        <w:rPr>
          <w:sz w:val="28"/>
          <w:szCs w:val="28"/>
        </w:rPr>
        <w:t>, его органов управления</w:t>
      </w:r>
      <w:r w:rsidRPr="00063852">
        <w:rPr>
          <w:sz w:val="28"/>
          <w:szCs w:val="28"/>
        </w:rPr>
        <w:t xml:space="preserve"> с инсайдерами и взаимосвязанными с ними лицами (далее – инсайдеры).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Указанные подходы направлены на осуществление контроля за совершением Банком банковских</w:t>
      </w:r>
      <w:r>
        <w:rPr>
          <w:sz w:val="28"/>
          <w:szCs w:val="28"/>
        </w:rPr>
        <w:t xml:space="preserve"> операций,</w:t>
      </w:r>
      <w:r w:rsidRPr="00063852">
        <w:rPr>
          <w:sz w:val="28"/>
          <w:szCs w:val="28"/>
        </w:rPr>
        <w:t xml:space="preserve"> иных операций </w:t>
      </w:r>
      <w:r>
        <w:rPr>
          <w:sz w:val="28"/>
          <w:szCs w:val="28"/>
        </w:rPr>
        <w:t xml:space="preserve">и </w:t>
      </w:r>
      <w:r w:rsidRPr="00063852">
        <w:rPr>
          <w:sz w:val="28"/>
          <w:szCs w:val="28"/>
        </w:rPr>
        <w:t>сделок</w:t>
      </w:r>
      <w:r>
        <w:rPr>
          <w:sz w:val="28"/>
          <w:szCs w:val="28"/>
        </w:rPr>
        <w:t xml:space="preserve"> (далее - сделки</w:t>
      </w:r>
      <w:r w:rsidRPr="00063852">
        <w:rPr>
          <w:sz w:val="28"/>
          <w:szCs w:val="28"/>
        </w:rPr>
        <w:t xml:space="preserve">) с инсайдерами </w:t>
      </w:r>
      <w:r>
        <w:rPr>
          <w:sz w:val="28"/>
          <w:szCs w:val="28"/>
        </w:rPr>
        <w:t xml:space="preserve">с целью </w:t>
      </w:r>
      <w:r w:rsidRPr="00063852">
        <w:rPr>
          <w:sz w:val="28"/>
          <w:szCs w:val="28"/>
        </w:rPr>
        <w:t>исключ</w:t>
      </w:r>
      <w:r>
        <w:rPr>
          <w:sz w:val="28"/>
          <w:szCs w:val="28"/>
        </w:rPr>
        <w:t>ения</w:t>
      </w:r>
      <w:r w:rsidRPr="000638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06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Банком </w:t>
      </w:r>
      <w:r w:rsidRPr="00063852">
        <w:rPr>
          <w:sz w:val="28"/>
          <w:szCs w:val="28"/>
        </w:rPr>
        <w:t xml:space="preserve">инсайдерам льготных условий, кроме случаев, установленных Национальным банком Республики Беларусь. 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Согласно статье 122 Банковского кодекса Республики Беларусь под предоставлением льготных условий понимаются: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заключение с инсайдерами, или в их интересах сделки, какую по ее существу и (или) условию (условиям) Банк не заключал и (или) не заключает с другими клиентами;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 xml:space="preserve">взимание Банком с инсайдеров вознаграждения и (или) платы за осуществление </w:t>
      </w:r>
      <w:r>
        <w:rPr>
          <w:sz w:val="28"/>
          <w:szCs w:val="28"/>
        </w:rPr>
        <w:t>(совершение) сделки</w:t>
      </w:r>
      <w:r w:rsidRPr="00063852">
        <w:rPr>
          <w:sz w:val="28"/>
          <w:szCs w:val="28"/>
        </w:rPr>
        <w:t xml:space="preserve"> в меньшем размере, чем вознаграждение и (или) плата за осуществление этой </w:t>
      </w:r>
      <w:r>
        <w:rPr>
          <w:sz w:val="28"/>
          <w:szCs w:val="28"/>
        </w:rPr>
        <w:t>сделки</w:t>
      </w:r>
      <w:r w:rsidRPr="00063852">
        <w:rPr>
          <w:sz w:val="28"/>
          <w:szCs w:val="28"/>
        </w:rPr>
        <w:t>, взимаемые с других клиентов банка.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В соответствии с пунктом 22 Инструкции об организации корпоративного управления, утвержденной постановлением Правления Национального банка Республики Беларусь от 21.02.2024 №62, запрет на совершение сделок с инсайдерами на льготных условиях не распространяется на предоставление в соответствии с требованиями законодательства займов: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физическим лицам - работникам Банка с целью удовлетворения их собственных нужд (личных, бытовых, семейных и иных нужд, не связанных с осуществлением предпринимательской деятельности);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юридическим лицам, на решения которых, принимаемые их органами управления, Банк способен прямо или косвенно (через третьи лица) оказывать существенное влияние.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Локальными правовыми актами Банка, в частности, предусмотрены: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подходы к определению лиц, относящихся к инсайдерам;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перечень структурных подразделений Банка, ответственных за учет лиц, относящихся к инсайдерам;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порядок взаимодействия структурных подразделений Банка с инсайдерами;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состав, порядок и сроки сбора (обновления) и хранения структурными подразделениями Банка информации о лицах, относящихся к инсайдерам;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порядок использования информации об инсайдерах в деятельности Банка;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lastRenderedPageBreak/>
        <w:t>требования к обеспечению конфиденциальности информации об инсайдерах.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Сделки с инсайдерами совершаются в соответствии с порядком, предусмотренном локальными правовыми актами Банка, на условиях и (или) с параметрами, соответствующими стандартным предложениям Банка по соответствующим сделкам, которые предлагаются другим клиентам Банка, не являющимся инсайдерами.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</w:t>
      </w:r>
      <w:r w:rsidRPr="00063852">
        <w:rPr>
          <w:sz w:val="28"/>
          <w:szCs w:val="28"/>
        </w:rPr>
        <w:t>делки с инсайдерами предполага</w:t>
      </w:r>
      <w:r>
        <w:rPr>
          <w:sz w:val="28"/>
          <w:szCs w:val="28"/>
        </w:rPr>
        <w:t>ют</w:t>
      </w:r>
      <w:r w:rsidRPr="00063852">
        <w:rPr>
          <w:sz w:val="28"/>
          <w:szCs w:val="28"/>
        </w:rPr>
        <w:t xml:space="preserve"> отдельные условия и (или) параметры, отличные от стандартных предложений Банка по соответствующим сделкам, совершаются только при наличии аналогичных сделок с другими клиентами Банка, не являющимися инсайдерами. Индивидуальные сделки совершаются только по решению уполномоченных коллегиальных органов Банка в соответствии с их компетенцией.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>Сводная информация о существующем в Банке механизме контроля за совершением сделок с инсайдерами без предоставления льготных условий, в том числе информация о реализации данного механизма за соответствующий период, доводится до Наблюдательного совета Банка.</w:t>
      </w:r>
    </w:p>
    <w:p w:rsidR="00B07C82" w:rsidRDefault="00B07C82" w:rsidP="00B07C82">
      <w:pPr>
        <w:ind w:firstLine="567"/>
        <w:jc w:val="both"/>
        <w:rPr>
          <w:sz w:val="28"/>
          <w:szCs w:val="28"/>
        </w:rPr>
      </w:pPr>
      <w:r w:rsidRPr="00063852">
        <w:rPr>
          <w:sz w:val="28"/>
          <w:szCs w:val="28"/>
        </w:rPr>
        <w:t xml:space="preserve">Правовая поддержка структурных подразделений Банка на предмет определения наличия либо отсутствия льготных условий при осуществлении сделок с инсайдерами осуществляется Юридическим департаментом Банка. </w:t>
      </w:r>
    </w:p>
    <w:p w:rsidR="00B07C82" w:rsidRPr="00063852" w:rsidRDefault="00B07C82" w:rsidP="00B07C82">
      <w:pPr>
        <w:ind w:firstLine="567"/>
        <w:jc w:val="both"/>
        <w:rPr>
          <w:sz w:val="28"/>
          <w:szCs w:val="28"/>
        </w:rPr>
      </w:pPr>
    </w:p>
    <w:p w:rsidR="001E3807" w:rsidRPr="00B07C82" w:rsidRDefault="001E3807" w:rsidP="00B07C82">
      <w:pPr>
        <w:ind w:firstLine="567"/>
      </w:pPr>
    </w:p>
    <w:sectPr w:rsidR="001E3807" w:rsidRPr="00B07C82" w:rsidSect="00525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55" w:rsidRDefault="00525F55" w:rsidP="00525F55">
      <w:r>
        <w:separator/>
      </w:r>
    </w:p>
  </w:endnote>
  <w:endnote w:type="continuationSeparator" w:id="0">
    <w:p w:rsidR="00525F55" w:rsidRDefault="00525F55" w:rsidP="0052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55" w:rsidRDefault="00525F55" w:rsidP="00525F55">
      <w:r>
        <w:separator/>
      </w:r>
    </w:p>
  </w:footnote>
  <w:footnote w:type="continuationSeparator" w:id="0">
    <w:p w:rsidR="00525F55" w:rsidRDefault="00525F55" w:rsidP="0052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283818"/>
      <w:docPartObj>
        <w:docPartGallery w:val="Page Numbers (Top of Page)"/>
        <w:docPartUnique/>
      </w:docPartObj>
    </w:sdtPr>
    <w:sdtEndPr/>
    <w:sdtContent>
      <w:p w:rsidR="00525F55" w:rsidRDefault="00525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7B">
          <w:rPr>
            <w:noProof/>
          </w:rPr>
          <w:t>2</w:t>
        </w:r>
        <w:r>
          <w:fldChar w:fldCharType="end"/>
        </w:r>
      </w:p>
    </w:sdtContent>
  </w:sdt>
  <w:p w:rsidR="00525F55" w:rsidRDefault="00525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1"/>
    <w:rsid w:val="00063852"/>
    <w:rsid w:val="000A03EB"/>
    <w:rsid w:val="00117C53"/>
    <w:rsid w:val="001378E4"/>
    <w:rsid w:val="001773BB"/>
    <w:rsid w:val="001E35E8"/>
    <w:rsid w:val="001E3807"/>
    <w:rsid w:val="00245E81"/>
    <w:rsid w:val="00276B8D"/>
    <w:rsid w:val="002B1B72"/>
    <w:rsid w:val="00303938"/>
    <w:rsid w:val="00365358"/>
    <w:rsid w:val="00464666"/>
    <w:rsid w:val="004748D1"/>
    <w:rsid w:val="00506AB2"/>
    <w:rsid w:val="00525F55"/>
    <w:rsid w:val="005752CA"/>
    <w:rsid w:val="0061393B"/>
    <w:rsid w:val="006B5EB2"/>
    <w:rsid w:val="0073607B"/>
    <w:rsid w:val="007412F3"/>
    <w:rsid w:val="00787492"/>
    <w:rsid w:val="007F25BE"/>
    <w:rsid w:val="008653CA"/>
    <w:rsid w:val="00874C0B"/>
    <w:rsid w:val="008A01B7"/>
    <w:rsid w:val="008B6A4D"/>
    <w:rsid w:val="008C34BE"/>
    <w:rsid w:val="008F219B"/>
    <w:rsid w:val="00936B9E"/>
    <w:rsid w:val="00937D53"/>
    <w:rsid w:val="00964164"/>
    <w:rsid w:val="009904D2"/>
    <w:rsid w:val="009C5446"/>
    <w:rsid w:val="00A10FA3"/>
    <w:rsid w:val="00A27A91"/>
    <w:rsid w:val="00A9148D"/>
    <w:rsid w:val="00AB6A55"/>
    <w:rsid w:val="00B0663B"/>
    <w:rsid w:val="00B07C82"/>
    <w:rsid w:val="00B902D0"/>
    <w:rsid w:val="00C81348"/>
    <w:rsid w:val="00D63C35"/>
    <w:rsid w:val="00D80062"/>
    <w:rsid w:val="00DE76B9"/>
    <w:rsid w:val="00DF2113"/>
    <w:rsid w:val="00E15081"/>
    <w:rsid w:val="00E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9D28"/>
  <w15:chartTrackingRefBased/>
  <w15:docId w15:val="{EEF1398D-1A8C-456C-9438-5F95EF8F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06AB2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506AB2"/>
  </w:style>
  <w:style w:type="character" w:customStyle="1" w:styleId="fake-non-breaking-space">
    <w:name w:val="fake-non-breaking-space"/>
    <w:basedOn w:val="a0"/>
    <w:rsid w:val="00506AB2"/>
  </w:style>
  <w:style w:type="paragraph" w:customStyle="1" w:styleId="il-text-indent095cm">
    <w:name w:val="il-text-indent_0_95cm"/>
    <w:basedOn w:val="a"/>
    <w:rsid w:val="00506AB2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7F25BE"/>
  </w:style>
  <w:style w:type="character" w:customStyle="1" w:styleId="colorff00ff">
    <w:name w:val="color__ff00ff"/>
    <w:basedOn w:val="a0"/>
    <w:rsid w:val="007F25BE"/>
  </w:style>
  <w:style w:type="character" w:customStyle="1" w:styleId="color0000ff">
    <w:name w:val="color__0000ff"/>
    <w:basedOn w:val="a0"/>
    <w:rsid w:val="007F25BE"/>
  </w:style>
  <w:style w:type="paragraph" w:styleId="a3">
    <w:name w:val="header"/>
    <w:basedOn w:val="a"/>
    <w:link w:val="a4"/>
    <w:uiPriority w:val="99"/>
    <w:unhideWhenUsed/>
    <w:rsid w:val="00525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F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72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5176107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3116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2024-04-16T13:10:00Z</dcterms:created>
  <dcterms:modified xsi:type="dcterms:W3CDTF">2024-04-17T06:37:00Z</dcterms:modified>
</cp:coreProperties>
</file>